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Theme="minorEastAsia" w:hAnsiTheme="minorEastAsia" w:cstheme="minorEastAsia"/>
          <w:b/>
          <w:bCs/>
          <w:szCs w:val="21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cstheme="minorEastAsia"/>
          <w:lang w:val="en-US" w:eastAsia="zh-CN"/>
        </w:rPr>
        <w:t xml:space="preserve">                            </w:t>
      </w:r>
      <w:r>
        <w:rPr>
          <w:rFonts w:hint="eastAsia" w:asciiTheme="minorEastAsia" w:hAnsiTheme="minorEastAsia" w:cstheme="minorEastAsia"/>
          <w:b/>
          <w:bCs/>
          <w:szCs w:val="21"/>
        </w:rPr>
        <w:t>无线</w:t>
      </w:r>
      <w:r>
        <w:rPr>
          <w:rFonts w:hint="eastAsia" w:asciiTheme="minorEastAsia" w:hAnsiTheme="minorEastAsia" w:cstheme="minorEastAsia"/>
          <w:b/>
          <w:bCs/>
          <w:szCs w:val="21"/>
          <w:lang w:val="en-US" w:eastAsia="zh-CN"/>
        </w:rPr>
        <w:t>数字温度变送器说明书</w:t>
      </w:r>
    </w:p>
    <w:p>
      <w:pPr>
        <w:spacing w:line="360" w:lineRule="auto"/>
        <w:rPr>
          <w:rFonts w:hint="default" w:asciiTheme="minorEastAsia" w:hAnsiTheme="minorEastAsia" w:cstheme="minorEastAsia"/>
          <w:b/>
          <w:bCs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Cs w:val="21"/>
          <w:lang w:val="en-US" w:eastAsia="zh-CN"/>
        </w:rPr>
        <w:t>产品概述：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0" w:firstLineChars="300"/>
        <w:textAlignment w:val="auto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  <w:lang w:val="en-US" w:eastAsia="zh-CN"/>
        </w:rPr>
        <w:t>KZW-NB</w:t>
      </w:r>
      <w:r>
        <w:rPr>
          <w:rFonts w:hint="eastAsia" w:asciiTheme="minorEastAsia" w:hAnsiTheme="minorEastAsia" w:cstheme="minorEastAsia"/>
          <w:szCs w:val="21"/>
          <w:lang w:eastAsia="zh-CN"/>
        </w:rPr>
        <w:t>系列</w:t>
      </w:r>
      <w:r>
        <w:rPr>
          <w:rFonts w:hint="eastAsia" w:asciiTheme="minorEastAsia" w:hAnsiTheme="minorEastAsia" w:cstheme="minorEastAsia"/>
          <w:szCs w:val="21"/>
        </w:rPr>
        <w:t>智能无线变送器是一款低功耗、具有无线通讯功能的智能仪表，以先进的工业级MCU 为核心，高品质的传感器为采集前端，结合物联网NB_IoT数据模块，及中国电信NB_IoT网络，实现现场仪表数据到云端的无线传输。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30" w:firstLineChars="300"/>
        <w:textAlignment w:val="auto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  <w:lang w:val="en-US" w:eastAsia="zh-CN"/>
        </w:rPr>
        <w:t>KZW-NB</w:t>
      </w:r>
      <w:r>
        <w:rPr>
          <w:rFonts w:hint="eastAsia" w:asciiTheme="minorEastAsia" w:hAnsiTheme="minorEastAsia" w:cstheme="minorEastAsia"/>
          <w:szCs w:val="21"/>
          <w:lang w:eastAsia="zh-CN"/>
        </w:rPr>
        <w:t>系列</w:t>
      </w:r>
      <w:r>
        <w:rPr>
          <w:rFonts w:hint="eastAsia" w:asciiTheme="minorEastAsia" w:hAnsiTheme="minorEastAsia" w:cstheme="minorEastAsia"/>
          <w:szCs w:val="21"/>
        </w:rPr>
        <w:t>采用定时传输和阈值报警二种方式，异常</w:t>
      </w:r>
      <w:r>
        <w:rPr>
          <w:rFonts w:hint="eastAsia" w:asciiTheme="minorEastAsia" w:hAnsiTheme="minorEastAsia" w:cstheme="minorEastAsia"/>
          <w:szCs w:val="21"/>
          <w:lang w:val="en-US" w:eastAsia="zh-CN"/>
        </w:rPr>
        <w:t>温度</w:t>
      </w:r>
      <w:r>
        <w:rPr>
          <w:rFonts w:hint="eastAsia" w:asciiTheme="minorEastAsia" w:hAnsiTheme="minorEastAsia" w:cstheme="minorEastAsia"/>
          <w:szCs w:val="21"/>
        </w:rPr>
        <w:t>及时发现，保证了管道的安全性。该产品采用工业型防爆壳体，在传感器处理方面采</w:t>
      </w:r>
      <w:r>
        <w:rPr>
          <w:rFonts w:hint="eastAsia" w:asciiTheme="minorEastAsia" w:hAnsiTheme="minorEastAsia" w:cstheme="minorEastAsia"/>
          <w:szCs w:val="21"/>
          <w:lang w:val="en-US" w:eastAsia="zh-CN"/>
        </w:rPr>
        <w:t xml:space="preserve">用进口铂电阻 </w:t>
      </w:r>
      <w:r>
        <w:rPr>
          <w:rFonts w:hint="eastAsia" w:asciiTheme="minorEastAsia" w:hAnsiTheme="minorEastAsia" w:cstheme="minorEastAsia"/>
          <w:szCs w:val="21"/>
        </w:rPr>
        <w:t>，实现稳定的数据采集，保证数据的可靠性、准确性。</w:t>
      </w:r>
    </w:p>
    <w:p>
      <w:pPr>
        <w:spacing w:line="360" w:lineRule="auto"/>
        <w:rPr>
          <w:rFonts w:asciiTheme="minorEastAsia" w:hAnsiTheme="minorEastAsia" w:cstheme="minorEastAsia"/>
          <w:b/>
          <w:bCs/>
          <w:szCs w:val="21"/>
        </w:rPr>
      </w:pPr>
      <w:r>
        <w:rPr>
          <w:rFonts w:hint="eastAsia" w:asciiTheme="minorEastAsia" w:hAnsiTheme="minorEastAsia" w:cstheme="minorEastAsia"/>
          <w:b/>
          <w:bCs/>
          <w:szCs w:val="21"/>
        </w:rPr>
        <w:t>产品特点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/>
        <w:textAlignment w:val="auto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NB-IoT 网络适用地域广。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/>
        <w:textAlignment w:val="auto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采用五位超高分辨率液晶显示屏显示。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/>
        <w:textAlignment w:val="auto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超大尺寸显示屏（42*30），可同时显示环境温度。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/>
        <w:textAlignment w:val="auto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天线形式可选择：外置和一体，对于信号弱的地方可选择外置天线。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/>
        <w:textAlignment w:val="auto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内置低功耗电路和9900mAh大容量锂电池电池。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/>
        <w:textAlignment w:val="auto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可自动上报最近48个点压力数据，每个点间隔30分钟。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/>
        <w:textAlignment w:val="auto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阈值上、下限报警及上上限和下下限报警功能；及电池容量报警提示功能。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/>
        <w:textAlignment w:val="auto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联网自动校时，断网自动重连。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/>
        <w:textAlignment w:val="auto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无需按键操作，可使用红外遥控器本地操作仪表，避免现场错误操作。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/>
        <w:textAlignment w:val="auto"/>
        <w:rPr>
          <w:rFonts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</w:rPr>
        <w:t>常见设置均可通过服务器发送设置参数，无需现场设置参数。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/>
        <w:textAlignment w:val="auto"/>
      </w:pPr>
      <w:r>
        <w:rPr>
          <w:rFonts w:hint="eastAsia" w:asciiTheme="minorEastAsia" w:hAnsiTheme="minorEastAsia" w:cstheme="minorEastAsia"/>
          <w:szCs w:val="21"/>
        </w:rPr>
        <w:t>具有防震、防潮功能，适应野外环境。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hanging="420"/>
        <w:textAlignment w:val="auto"/>
      </w:pPr>
      <w:r>
        <w:rPr>
          <w:rFonts w:hint="eastAsia" w:asciiTheme="minorEastAsia" w:hAnsiTheme="minorEastAsia" w:cstheme="minorEastAsia"/>
          <w:szCs w:val="21"/>
        </w:rPr>
        <w:t>具有</w:t>
      </w:r>
      <w:r>
        <w:rPr>
          <w:rFonts w:hint="eastAsia"/>
        </w:rPr>
        <w:t>完善的故障自检功能。</w:t>
      </w:r>
    </w:p>
    <w:p>
      <w:pPr>
        <w:spacing w:line="360" w:lineRule="auto"/>
        <w:rPr>
          <w:rFonts w:hint="eastAsia" w:asciiTheme="minorEastAsia" w:hAnsiTheme="minorEastAsia" w:cstheme="minorEastAsia"/>
          <w:b/>
          <w:bCs/>
          <w:szCs w:val="21"/>
        </w:rPr>
      </w:pPr>
      <w:r>
        <w:rPr>
          <w:rFonts w:hint="eastAsia" w:asciiTheme="minorEastAsia" w:hAnsiTheme="minorEastAsia" w:cstheme="minorEastAsia"/>
          <w:b/>
          <w:bCs/>
          <w:szCs w:val="21"/>
        </w:rPr>
        <w:t>技术参数：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Theme="minorEastAsia" w:hAnsiTheme="minorEastAsia" w:cstheme="minorEastAsia"/>
          <w:b w:val="0"/>
          <w:bCs w:val="0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Cs w:val="21"/>
          <w:lang w:val="en-US" w:eastAsia="zh-CN"/>
        </w:rPr>
        <w:t>型    号：KZW-NB                 量    程：0-100℃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Theme="minorEastAsia" w:hAnsiTheme="minorEastAsia" w:cstheme="minorEastAsia"/>
          <w:b w:val="0"/>
          <w:bCs w:val="0"/>
          <w:szCs w:val="21"/>
        </w:rPr>
      </w:pPr>
      <w:r>
        <w:rPr>
          <w:rFonts w:hint="eastAsia" w:asciiTheme="minorEastAsia" w:hAnsiTheme="minorEastAsia" w:cstheme="minorEastAsia"/>
          <w:b w:val="0"/>
          <w:bCs w:val="0"/>
          <w:szCs w:val="21"/>
          <w:lang w:val="en-US" w:eastAsia="zh-CN"/>
        </w:rPr>
        <w:t>精    度 ：0.5                   供电电源：3.6V锂电池，容量：</w:t>
      </w:r>
      <w:r>
        <w:rPr>
          <w:rFonts w:hint="eastAsia" w:asciiTheme="minorEastAsia" w:hAnsiTheme="minorEastAsia" w:cstheme="minorEastAsia"/>
          <w:b w:val="0"/>
          <w:bCs w:val="0"/>
          <w:szCs w:val="21"/>
        </w:rPr>
        <w:t>9900mAH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b w:val="0"/>
          <w:bCs w:val="0"/>
          <w:szCs w:val="21"/>
          <w:lang w:val="en-US" w:eastAsia="zh-CN"/>
        </w:rPr>
        <w:t>显    示 ：LCD                   按    键：</w:t>
      </w:r>
      <w:r>
        <w:rPr>
          <w:rFonts w:hint="eastAsia" w:asciiTheme="minorEastAsia" w:hAnsiTheme="minorEastAsia" w:cstheme="minorEastAsia"/>
          <w:szCs w:val="21"/>
        </w:rPr>
        <w:t>设置、通信、单位切换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Theme="minorEastAsia" w:hAnsiTheme="minorEastAsia" w:cstheme="minorEastAsia"/>
          <w:szCs w:val="21"/>
        </w:rPr>
      </w:pPr>
      <w:r>
        <w:rPr>
          <w:rFonts w:hint="eastAsia" w:asciiTheme="minorEastAsia" w:hAnsiTheme="minorEastAsia" w:cstheme="minorEastAsia"/>
          <w:szCs w:val="21"/>
          <w:lang w:val="en-US" w:eastAsia="zh-CN"/>
        </w:rPr>
        <w:t xml:space="preserve">传输方式：NB-IOT </w:t>
      </w:r>
      <w:r>
        <w:rPr>
          <w:rFonts w:hint="eastAsia" w:asciiTheme="minorEastAsia" w:hAnsiTheme="minorEastAsia" w:cstheme="minorEastAsia"/>
          <w:szCs w:val="21"/>
        </w:rPr>
        <w:t>CoAP协议</w:t>
      </w:r>
      <w:r>
        <w:rPr>
          <w:rFonts w:hint="eastAsia" w:asciiTheme="minorEastAsia" w:hAnsiTheme="minorEastAsia" w:cstheme="minorEastAsia"/>
          <w:szCs w:val="21"/>
          <w:lang w:val="en-US" w:eastAsia="zh-CN"/>
        </w:rPr>
        <w:t xml:space="preserve">       传输距离 ：</w:t>
      </w:r>
      <w:r>
        <w:rPr>
          <w:rFonts w:hint="eastAsia" w:asciiTheme="minorEastAsia" w:hAnsiTheme="minorEastAsia" w:cstheme="minorEastAsia"/>
          <w:szCs w:val="21"/>
        </w:rPr>
        <w:t>取决于NB基站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asciiTheme="minorEastAsia" w:hAnsiTheme="minorEastAsia" w:cstheme="minorEastAsia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szCs w:val="21"/>
          <w:lang w:val="en-US" w:eastAsia="zh-CN"/>
        </w:rPr>
        <w:t>安装方式：M20*1.5                天线形式：</w:t>
      </w:r>
      <w:r>
        <w:rPr>
          <w:rFonts w:hint="eastAsia" w:asciiTheme="minorEastAsia" w:hAnsiTheme="minorEastAsia" w:cstheme="minorEastAsia"/>
          <w:szCs w:val="21"/>
        </w:rPr>
        <w:t>外置一体式</w:t>
      </w:r>
    </w:p>
    <w:p>
      <w:pPr>
        <w:spacing w:line="360" w:lineRule="auto"/>
        <w:rPr>
          <w:rFonts w:asciiTheme="minorEastAsia" w:hAnsiTheme="minorEastAsia" w:cstheme="minorEastAsia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显示内容：</w:t>
      </w:r>
    </w:p>
    <w:p>
      <w:pPr>
        <w:pStyle w:val="10"/>
        <w:ind w:firstLine="0" w:firstLineChars="0"/>
      </w:pPr>
      <w:r>
        <w:rPr>
          <w:rFonts w:hint="eastAsia"/>
        </w:rPr>
        <w:t>正常模式：按中间按键查询</w:t>
      </w:r>
    </w:p>
    <w:p>
      <w:pPr>
        <w:pStyle w:val="10"/>
        <w:ind w:firstLine="0" w:firstLineChars="0"/>
      </w:pPr>
    </w:p>
    <w:tbl>
      <w:tblPr>
        <w:tblStyle w:val="7"/>
        <w:tblW w:w="846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4"/>
        <w:gridCol w:w="3610"/>
        <w:gridCol w:w="33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  <w:jc w:val="center"/>
        </w:trPr>
        <w:tc>
          <w:tcPr>
            <w:tcW w:w="1454" w:type="dxa"/>
          </w:tcPr>
          <w:p>
            <w:pPr>
              <w:pStyle w:val="10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显示屏号</w:t>
            </w:r>
          </w:p>
        </w:tc>
        <w:tc>
          <w:tcPr>
            <w:tcW w:w="3610" w:type="dxa"/>
          </w:tcPr>
          <w:p>
            <w:pPr>
              <w:pStyle w:val="10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内容</w:t>
            </w:r>
          </w:p>
        </w:tc>
        <w:tc>
          <w:tcPr>
            <w:tcW w:w="3396" w:type="dxa"/>
          </w:tcPr>
          <w:p>
            <w:pPr>
              <w:pStyle w:val="10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  <w:jc w:val="center"/>
        </w:trPr>
        <w:tc>
          <w:tcPr>
            <w:tcW w:w="1454" w:type="dxa"/>
          </w:tcPr>
          <w:p>
            <w:pPr>
              <w:pStyle w:val="10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0</w:t>
            </w:r>
          </w:p>
        </w:tc>
        <w:tc>
          <w:tcPr>
            <w:tcW w:w="3610" w:type="dxa"/>
          </w:tcPr>
          <w:p>
            <w:pPr>
              <w:pStyle w:val="10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当前实时压力</w:t>
            </w:r>
            <w:r>
              <w:rPr>
                <w:rFonts w:asciiTheme="minorEastAsia" w:hAnsiTheme="minorEastAsia" w:cstheme="minorEastAsia"/>
                <w:szCs w:val="21"/>
              </w:rPr>
              <w:t xml:space="preserve"> </w:t>
            </w:r>
          </w:p>
        </w:tc>
        <w:tc>
          <w:tcPr>
            <w:tcW w:w="3396" w:type="dxa"/>
          </w:tcPr>
          <w:p>
            <w:pPr>
              <w:pStyle w:val="10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环境温度，电池状态每屏都有显示。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  <w:jc w:val="center"/>
        </w:trPr>
        <w:tc>
          <w:tcPr>
            <w:tcW w:w="1454" w:type="dxa"/>
          </w:tcPr>
          <w:p>
            <w:pPr>
              <w:pStyle w:val="10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1</w:t>
            </w:r>
          </w:p>
        </w:tc>
        <w:tc>
          <w:tcPr>
            <w:tcW w:w="3610" w:type="dxa"/>
          </w:tcPr>
          <w:p>
            <w:pPr>
              <w:pStyle w:val="10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当</w:t>
            </w:r>
            <w:r>
              <w:rPr>
                <w:rFonts w:hint="eastAsia"/>
                <w:szCs w:val="24"/>
              </w:rPr>
              <w:t>前日</w:t>
            </w:r>
            <w:r>
              <w:rPr>
                <w:rFonts w:hint="eastAsia" w:asciiTheme="minorEastAsia" w:hAnsiTheme="minorEastAsia" w:cstheme="minorEastAsia"/>
                <w:szCs w:val="21"/>
              </w:rPr>
              <w:t>期</w:t>
            </w:r>
          </w:p>
        </w:tc>
        <w:tc>
          <w:tcPr>
            <w:tcW w:w="3396" w:type="dxa"/>
          </w:tcPr>
          <w:p>
            <w:pPr>
              <w:pStyle w:val="10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  <w:jc w:val="center"/>
        </w:trPr>
        <w:tc>
          <w:tcPr>
            <w:tcW w:w="1454" w:type="dxa"/>
          </w:tcPr>
          <w:p>
            <w:pPr>
              <w:pStyle w:val="10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2</w:t>
            </w:r>
          </w:p>
        </w:tc>
        <w:tc>
          <w:tcPr>
            <w:tcW w:w="3610" w:type="dxa"/>
          </w:tcPr>
          <w:p>
            <w:pPr>
              <w:pStyle w:val="10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当前时间</w:t>
            </w:r>
          </w:p>
        </w:tc>
        <w:tc>
          <w:tcPr>
            <w:tcW w:w="3396" w:type="dxa"/>
          </w:tcPr>
          <w:p>
            <w:pPr>
              <w:pStyle w:val="10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5" w:hRule="atLeast"/>
          <w:jc w:val="center"/>
        </w:trPr>
        <w:tc>
          <w:tcPr>
            <w:tcW w:w="1454" w:type="dxa"/>
          </w:tcPr>
          <w:p>
            <w:pPr>
              <w:pStyle w:val="10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3</w:t>
            </w:r>
          </w:p>
        </w:tc>
        <w:tc>
          <w:tcPr>
            <w:tcW w:w="3610" w:type="dxa"/>
          </w:tcPr>
          <w:p>
            <w:pPr>
              <w:pStyle w:val="10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表号中间6字节，高位6105为默认不显示，代表厂商</w:t>
            </w:r>
          </w:p>
        </w:tc>
        <w:tc>
          <w:tcPr>
            <w:tcW w:w="3396" w:type="dxa"/>
          </w:tcPr>
          <w:p>
            <w:pPr>
              <w:pStyle w:val="10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例如：011905，表号高位就是：6105011905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1454" w:type="dxa"/>
          </w:tcPr>
          <w:p>
            <w:pPr>
              <w:pStyle w:val="10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4</w:t>
            </w:r>
          </w:p>
        </w:tc>
        <w:tc>
          <w:tcPr>
            <w:tcW w:w="3610" w:type="dxa"/>
          </w:tcPr>
          <w:p>
            <w:pPr>
              <w:pStyle w:val="10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表号低4位</w:t>
            </w:r>
          </w:p>
        </w:tc>
        <w:tc>
          <w:tcPr>
            <w:tcW w:w="3396" w:type="dxa"/>
          </w:tcPr>
          <w:p>
            <w:pPr>
              <w:pStyle w:val="10"/>
              <w:ind w:firstLine="0" w:firstLineChars="0"/>
              <w:rPr>
                <w:rFonts w:asciiTheme="minorEastAsia" w:hAnsiTheme="minorEastAsia" w:cstheme="minorEastAsia"/>
                <w:szCs w:val="21"/>
              </w:rPr>
            </w:pPr>
          </w:p>
        </w:tc>
      </w:tr>
    </w:tbl>
    <w:p>
      <w:pPr>
        <w:pStyle w:val="10"/>
        <w:ind w:firstLine="0" w:firstLineChars="0"/>
      </w:pPr>
    </w:p>
    <w:p>
      <w:pPr>
        <w:pStyle w:val="10"/>
        <w:ind w:firstLine="0" w:firstLineChars="0"/>
        <w:rPr>
          <w:rFonts w:hint="eastAsia"/>
        </w:rPr>
      </w:pPr>
    </w:p>
    <w:p>
      <w:pPr>
        <w:pStyle w:val="10"/>
        <w:ind w:firstLine="0" w:firstLineChars="0"/>
        <w:rPr>
          <w:rFonts w:hint="eastAsia"/>
        </w:rPr>
      </w:pPr>
    </w:p>
    <w:p>
      <w:pPr>
        <w:pStyle w:val="10"/>
        <w:ind w:firstLine="0" w:firstLineChars="0"/>
        <w:rPr>
          <w:rFonts w:hint="eastAsia"/>
        </w:rPr>
      </w:pPr>
    </w:p>
    <w:p>
      <w:pPr>
        <w:pStyle w:val="10"/>
        <w:ind w:firstLine="0" w:firstLineChars="0"/>
      </w:pPr>
      <w:r>
        <w:rPr>
          <w:rFonts w:hint="eastAsia"/>
        </w:rPr>
        <w:t>上报模式：长按左键4秒进入上报。</w:t>
      </w:r>
    </w:p>
    <w:p>
      <w:pPr>
        <w:pStyle w:val="10"/>
        <w:ind w:left="720" w:firstLine="0" w:firstLineChars="0"/>
      </w:pPr>
    </w:p>
    <w:tbl>
      <w:tblPr>
        <w:tblStyle w:val="7"/>
        <w:tblW w:w="8560" w:type="dxa"/>
        <w:tblInd w:w="5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6"/>
        <w:gridCol w:w="5100"/>
        <w:gridCol w:w="21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356" w:type="dxa"/>
          </w:tcPr>
          <w:p>
            <w:pPr>
              <w:pStyle w:val="10"/>
              <w:ind w:firstLine="0" w:firstLineChars="0"/>
              <w:rPr>
                <w:szCs w:val="24"/>
              </w:rPr>
            </w:pPr>
            <w:r>
              <w:rPr>
                <w:rFonts w:hint="eastAsia"/>
                <w:szCs w:val="24"/>
              </w:rPr>
              <w:t>显示屏号</w:t>
            </w:r>
          </w:p>
        </w:tc>
        <w:tc>
          <w:tcPr>
            <w:tcW w:w="5100" w:type="dxa"/>
          </w:tcPr>
          <w:p>
            <w:pPr>
              <w:pStyle w:val="10"/>
              <w:ind w:firstLine="0" w:firstLineChars="0"/>
              <w:rPr>
                <w:szCs w:val="24"/>
              </w:rPr>
            </w:pPr>
            <w:r>
              <w:rPr>
                <w:rFonts w:hint="eastAsia"/>
                <w:szCs w:val="24"/>
              </w:rPr>
              <w:t>内容</w:t>
            </w:r>
          </w:p>
        </w:tc>
        <w:tc>
          <w:tcPr>
            <w:tcW w:w="2104" w:type="dxa"/>
          </w:tcPr>
          <w:p>
            <w:pPr>
              <w:pStyle w:val="10"/>
              <w:ind w:firstLine="0" w:firstLineChars="0"/>
              <w:rPr>
                <w:szCs w:val="24"/>
              </w:rPr>
            </w:pPr>
            <w:r>
              <w:rPr>
                <w:rFonts w:hint="eastAsia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1356" w:type="dxa"/>
          </w:tcPr>
          <w:p>
            <w:pPr>
              <w:pStyle w:val="10"/>
              <w:ind w:firstLine="0" w:firstLineChars="0"/>
              <w:rPr>
                <w:szCs w:val="24"/>
              </w:rPr>
            </w:pPr>
          </w:p>
        </w:tc>
        <w:tc>
          <w:tcPr>
            <w:tcW w:w="5100" w:type="dxa"/>
          </w:tcPr>
          <w:p>
            <w:pPr>
              <w:pStyle w:val="10"/>
              <w:ind w:firstLine="0" w:firstLineChars="0"/>
              <w:rPr>
                <w:szCs w:val="24"/>
              </w:rPr>
            </w:pPr>
            <w:r>
              <w:rPr>
                <w:rFonts w:hint="eastAsia"/>
                <w:szCs w:val="24"/>
              </w:rPr>
              <w:t>长按左键：显示---ACT,进入上报模式</w:t>
            </w:r>
          </w:p>
        </w:tc>
        <w:tc>
          <w:tcPr>
            <w:tcW w:w="2104" w:type="dxa"/>
          </w:tcPr>
          <w:p>
            <w:pPr>
              <w:pStyle w:val="10"/>
              <w:ind w:firstLine="0" w:firstLineChars="0"/>
              <w:rPr>
                <w:szCs w:val="24"/>
              </w:rPr>
            </w:pPr>
            <w:r>
              <w:rPr>
                <w:rFonts w:hint="eastAsia"/>
                <w:szCs w:val="24"/>
              </w:rPr>
              <w:t>进入后显示网络状态。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356" w:type="dxa"/>
            <w:vMerge w:val="restart"/>
          </w:tcPr>
          <w:p>
            <w:pPr>
              <w:pStyle w:val="10"/>
              <w:ind w:firstLine="0" w:firstLineChars="0"/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网络状态显示 </w:t>
            </w:r>
          </w:p>
          <w:p>
            <w:pPr>
              <w:pStyle w:val="10"/>
              <w:ind w:firstLine="0" w:firstLineChars="0"/>
              <w:rPr>
                <w:szCs w:val="24"/>
              </w:rPr>
            </w:pPr>
          </w:p>
        </w:tc>
        <w:tc>
          <w:tcPr>
            <w:tcW w:w="5100" w:type="dxa"/>
          </w:tcPr>
          <w:p>
            <w:pPr>
              <w:pStyle w:val="10"/>
              <w:ind w:firstLine="0" w:firstLineChars="0"/>
              <w:rPr>
                <w:szCs w:val="24"/>
              </w:rPr>
            </w:pPr>
            <w:r>
              <w:rPr>
                <w:rFonts w:hint="eastAsia"/>
                <w:szCs w:val="24"/>
              </w:rPr>
              <w:t>大屏字：   CSQ(0-31)—E(0,1,2)</w:t>
            </w:r>
          </w:p>
        </w:tc>
        <w:tc>
          <w:tcPr>
            <w:tcW w:w="2104" w:type="dxa"/>
          </w:tcPr>
          <w:p>
            <w:pPr>
              <w:pStyle w:val="10"/>
              <w:ind w:firstLine="0" w:firstLineChars="0"/>
              <w:rPr>
                <w:szCs w:val="24"/>
              </w:rPr>
            </w:pPr>
            <w:r>
              <w:rPr>
                <w:rFonts w:hint="eastAsia"/>
                <w:szCs w:val="24"/>
              </w:rPr>
              <w:t>信号强度+环境等级。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356" w:type="dxa"/>
            <w:vMerge w:val="continue"/>
          </w:tcPr>
          <w:p>
            <w:pPr>
              <w:pStyle w:val="10"/>
              <w:ind w:firstLine="0" w:firstLineChars="0"/>
              <w:rPr>
                <w:szCs w:val="24"/>
              </w:rPr>
            </w:pPr>
          </w:p>
        </w:tc>
        <w:tc>
          <w:tcPr>
            <w:tcW w:w="7204" w:type="dxa"/>
            <w:gridSpan w:val="2"/>
          </w:tcPr>
          <w:p>
            <w:pPr>
              <w:pStyle w:val="10"/>
              <w:ind w:firstLine="0" w:firstLineChars="0"/>
              <w:rPr>
                <w:szCs w:val="24"/>
              </w:rPr>
            </w:pPr>
            <w:r>
              <w:rPr>
                <w:rFonts w:hint="eastAsia"/>
                <w:szCs w:val="24"/>
              </w:rPr>
              <w:t>小屏字：P(pci) 小区号； F(earfcn):频点；S（snr）:信噪比； R(rsip):接收电平。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356" w:type="dxa"/>
            <w:vMerge w:val="restart"/>
          </w:tcPr>
          <w:p>
            <w:pPr>
              <w:pStyle w:val="10"/>
              <w:ind w:firstLine="0" w:firstLineChars="0"/>
              <w:rPr>
                <w:szCs w:val="24"/>
              </w:rPr>
            </w:pPr>
            <w:r>
              <w:rPr>
                <w:rFonts w:hint="eastAsia"/>
                <w:szCs w:val="24"/>
              </w:rPr>
              <w:t>数据交互</w:t>
            </w:r>
          </w:p>
        </w:tc>
        <w:tc>
          <w:tcPr>
            <w:tcW w:w="5100" w:type="dxa"/>
          </w:tcPr>
          <w:p>
            <w:pPr>
              <w:pStyle w:val="10"/>
              <w:ind w:firstLine="0" w:firstLineChars="0"/>
              <w:rPr>
                <w:szCs w:val="24"/>
              </w:rPr>
            </w:pPr>
            <w:r>
              <w:rPr>
                <w:rFonts w:hint="eastAsia"/>
                <w:szCs w:val="24"/>
              </w:rPr>
              <w:t>发送数据显示send</w:t>
            </w:r>
          </w:p>
        </w:tc>
        <w:tc>
          <w:tcPr>
            <w:tcW w:w="2104" w:type="dxa"/>
          </w:tcPr>
          <w:p>
            <w:pPr>
              <w:pStyle w:val="10"/>
              <w:ind w:firstLine="0" w:firstLineChars="0"/>
              <w:rPr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356" w:type="dxa"/>
            <w:vMerge w:val="continue"/>
          </w:tcPr>
          <w:p>
            <w:pPr>
              <w:pStyle w:val="10"/>
              <w:ind w:firstLine="0" w:firstLineChars="0"/>
              <w:rPr>
                <w:szCs w:val="24"/>
              </w:rPr>
            </w:pPr>
          </w:p>
        </w:tc>
        <w:tc>
          <w:tcPr>
            <w:tcW w:w="5100" w:type="dxa"/>
          </w:tcPr>
          <w:p>
            <w:pPr>
              <w:pStyle w:val="10"/>
              <w:ind w:firstLine="0" w:firstLineChars="0"/>
              <w:rPr>
                <w:szCs w:val="24"/>
              </w:rPr>
            </w:pPr>
            <w:r>
              <w:rPr>
                <w:rFonts w:hint="eastAsia"/>
                <w:szCs w:val="24"/>
              </w:rPr>
              <w:t>接收数据显示revice</w:t>
            </w:r>
          </w:p>
        </w:tc>
        <w:tc>
          <w:tcPr>
            <w:tcW w:w="2104" w:type="dxa"/>
          </w:tcPr>
          <w:p>
            <w:pPr>
              <w:pStyle w:val="10"/>
              <w:ind w:firstLine="0" w:firstLineChars="0"/>
              <w:rPr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356" w:type="dxa"/>
            <w:vMerge w:val="restart"/>
          </w:tcPr>
          <w:p>
            <w:pPr>
              <w:pStyle w:val="10"/>
              <w:ind w:firstLine="0" w:firstLineChars="0"/>
              <w:rPr>
                <w:szCs w:val="24"/>
              </w:rPr>
            </w:pPr>
            <w:r>
              <w:rPr>
                <w:rFonts w:hint="eastAsia"/>
                <w:szCs w:val="24"/>
              </w:rPr>
              <w:t>模组关机显示</w:t>
            </w:r>
          </w:p>
        </w:tc>
        <w:tc>
          <w:tcPr>
            <w:tcW w:w="5100" w:type="dxa"/>
          </w:tcPr>
          <w:p>
            <w:pPr>
              <w:pStyle w:val="10"/>
              <w:ind w:firstLine="0" w:firstLineChars="0"/>
              <w:rPr>
                <w:szCs w:val="24"/>
              </w:rPr>
            </w:pPr>
            <w:r>
              <w:rPr>
                <w:rFonts w:hint="eastAsia"/>
                <w:szCs w:val="24"/>
              </w:rPr>
              <w:t>成功显示SUC</w:t>
            </w:r>
          </w:p>
        </w:tc>
        <w:tc>
          <w:tcPr>
            <w:tcW w:w="2104" w:type="dxa"/>
          </w:tcPr>
          <w:p>
            <w:pPr>
              <w:pStyle w:val="10"/>
              <w:ind w:firstLine="0" w:firstLineChars="0"/>
              <w:rPr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356" w:type="dxa"/>
            <w:vMerge w:val="continue"/>
          </w:tcPr>
          <w:p>
            <w:pPr>
              <w:pStyle w:val="10"/>
              <w:ind w:firstLine="0" w:firstLineChars="0"/>
              <w:rPr>
                <w:szCs w:val="24"/>
              </w:rPr>
            </w:pPr>
          </w:p>
        </w:tc>
        <w:tc>
          <w:tcPr>
            <w:tcW w:w="5100" w:type="dxa"/>
          </w:tcPr>
          <w:p>
            <w:pPr>
              <w:pStyle w:val="10"/>
              <w:ind w:firstLine="0" w:firstLineChars="0"/>
              <w:rPr>
                <w:szCs w:val="24"/>
              </w:rPr>
            </w:pPr>
            <w:r>
              <w:rPr>
                <w:rFonts w:hint="eastAsia"/>
                <w:szCs w:val="24"/>
              </w:rPr>
              <w:t>失败显示FAI</w:t>
            </w:r>
          </w:p>
        </w:tc>
        <w:tc>
          <w:tcPr>
            <w:tcW w:w="2104" w:type="dxa"/>
          </w:tcPr>
          <w:p>
            <w:pPr>
              <w:pStyle w:val="10"/>
              <w:ind w:firstLine="0" w:firstLineChars="0"/>
              <w:rPr>
                <w:szCs w:val="24"/>
              </w:rPr>
            </w:pPr>
          </w:p>
        </w:tc>
      </w:tr>
    </w:tbl>
    <w:p>
      <w:pPr>
        <w:spacing w:line="360" w:lineRule="auto"/>
        <w:rPr>
          <w:rFonts w:asciiTheme="minorEastAsia" w:hAnsiTheme="minorEastAsia" w:cstheme="minorEastAsia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spacing w:line="360" w:lineRule="auto"/>
        <w:rPr>
          <w:rFonts w:asciiTheme="minorEastAsia" w:hAnsiTheme="minorEastAsia" w:cstheme="minorEastAsia"/>
          <w:b/>
          <w:bCs/>
          <w:szCs w:val="21"/>
        </w:rPr>
      </w:pPr>
      <w:r>
        <w:rPr>
          <w:rFonts w:hint="eastAsia" w:asciiTheme="minorEastAsia" w:hAnsiTheme="minorEastAsia" w:cstheme="minorEastAsia"/>
          <w:b/>
          <w:bCs/>
          <w:szCs w:val="21"/>
        </w:rPr>
        <w:t>报警阀值的处理：</w:t>
      </w:r>
    </w:p>
    <w:p>
      <w:pPr>
        <w:spacing w:line="360" w:lineRule="auto"/>
        <w:rPr>
          <w:rFonts w:asciiTheme="minorEastAsia" w:hAnsiTheme="minorEastAsia" w:cstheme="minorEastAsia"/>
          <w:b/>
          <w:bCs/>
          <w:szCs w:val="21"/>
        </w:rPr>
      </w:pPr>
    </w:p>
    <w:p>
      <w:pPr>
        <w:spacing w:line="360" w:lineRule="auto"/>
      </w:pPr>
      <w:r>
        <w:drawing>
          <wp:inline distT="0" distB="0" distL="114300" distR="114300">
            <wp:extent cx="2715260" cy="1781810"/>
            <wp:effectExtent l="0" t="0" r="12700" b="1270"/>
            <wp:docPr id="1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15260" cy="178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  <w:r>
        <w:rPr>
          <w:rFonts w:hint="eastAsia"/>
        </w:rPr>
        <w:t>A是上限异常报警：持续2分钟，压力高于A点，上报数据，持续高于A点，仅上报一次数据。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  <w:r>
        <w:rPr>
          <w:rFonts w:hint="eastAsia"/>
        </w:rPr>
        <w:t>B是上限恢复数据：压力回落止B点时，上报数据。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  <w:r>
        <w:rPr>
          <w:rFonts w:hint="eastAsia"/>
        </w:rPr>
        <w:t>D是下限异常报警:持续2分钟，压力低于D点，上报数据，持续低于D点，仅上报一次数据。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  <w:r>
        <w:rPr>
          <w:rFonts w:hint="eastAsia"/>
        </w:rPr>
        <w:t>c是下限恢复数据:压力回升到C点，上报数据。</w:t>
      </w:r>
    </w:p>
    <w:p>
      <w:pPr>
        <w:spacing w:line="360" w:lineRule="auto"/>
        <w:rPr>
          <w:rFonts w:asciiTheme="minorEastAsia" w:hAnsiTheme="minorEastAsia" w:cstheme="minorEastAsia"/>
          <w:szCs w:val="21"/>
        </w:rPr>
      </w:pPr>
    </w:p>
    <w:p>
      <w:pPr>
        <w:spacing w:line="360" w:lineRule="auto"/>
        <w:rPr>
          <w:rFonts w:asciiTheme="minorEastAsia" w:hAnsiTheme="minorEastAsia" w:cstheme="minorEastAsia"/>
          <w:szCs w:val="21"/>
        </w:rPr>
      </w:pPr>
    </w:p>
    <w:p>
      <w:pPr>
        <w:spacing w:line="360" w:lineRule="auto"/>
        <w:rPr>
          <w:rFonts w:asciiTheme="minorEastAsia" w:hAnsiTheme="minorEastAsia" w:cstheme="minorEastAsia"/>
          <w:szCs w:val="21"/>
        </w:rPr>
      </w:pPr>
    </w:p>
    <w:p>
      <w:pPr>
        <w:spacing w:line="360" w:lineRule="auto"/>
        <w:rPr>
          <w:rFonts w:hint="eastAsia" w:asciiTheme="minorEastAsia" w:hAnsiTheme="minorEastAsia" w:cstheme="minorEastAsia"/>
          <w:sz w:val="18"/>
          <w:szCs w:val="18"/>
        </w:rPr>
      </w:pPr>
    </w:p>
    <w:p>
      <w:pPr>
        <w:spacing w:line="360" w:lineRule="auto"/>
        <w:rPr>
          <w:rFonts w:hint="eastAsia" w:asciiTheme="minorEastAsia" w:hAnsiTheme="minorEastAsia" w:cstheme="minorEastAsia"/>
          <w:sz w:val="18"/>
          <w:szCs w:val="18"/>
        </w:rPr>
      </w:pPr>
    </w:p>
    <w:sectPr>
      <w:footerReference r:id="rId3" w:type="default"/>
      <w:pgSz w:w="11906" w:h="16838"/>
      <w:pgMar w:top="1440" w:right="1800" w:bottom="0" w:left="1800" w:header="851" w:footer="992" w:gutter="0"/>
      <w:pgNumType w:start="1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A68F201"/>
    <w:multiLevelType w:val="singleLevel"/>
    <w:tmpl w:val="2A68F201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attachedTemplate r:id="rId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OTRlZWVhYjNiYTAzNzA1OTk5N2RjYmI5ODY3ZjYifQ=="/>
  </w:docVars>
  <w:rsids>
    <w:rsidRoot w:val="089F6965"/>
    <w:rsid w:val="0001441F"/>
    <w:rsid w:val="000C605A"/>
    <w:rsid w:val="0015089F"/>
    <w:rsid w:val="001B3CA9"/>
    <w:rsid w:val="001D1A8C"/>
    <w:rsid w:val="00235C38"/>
    <w:rsid w:val="003A3C51"/>
    <w:rsid w:val="006A2530"/>
    <w:rsid w:val="006A2E25"/>
    <w:rsid w:val="007952BA"/>
    <w:rsid w:val="00976C34"/>
    <w:rsid w:val="00A44859"/>
    <w:rsid w:val="00A84FCB"/>
    <w:rsid w:val="00AE7A16"/>
    <w:rsid w:val="00B345D9"/>
    <w:rsid w:val="00CB0E41"/>
    <w:rsid w:val="00D41E6B"/>
    <w:rsid w:val="00D721FE"/>
    <w:rsid w:val="00F00B90"/>
    <w:rsid w:val="00F1131C"/>
    <w:rsid w:val="00F54538"/>
    <w:rsid w:val="028C279D"/>
    <w:rsid w:val="06B83B58"/>
    <w:rsid w:val="080525D5"/>
    <w:rsid w:val="089F6965"/>
    <w:rsid w:val="0999297C"/>
    <w:rsid w:val="0B722B0A"/>
    <w:rsid w:val="0DF276F7"/>
    <w:rsid w:val="0EBF1BC4"/>
    <w:rsid w:val="101B7504"/>
    <w:rsid w:val="14023C40"/>
    <w:rsid w:val="1C5D3B3D"/>
    <w:rsid w:val="1E225ED0"/>
    <w:rsid w:val="20266C44"/>
    <w:rsid w:val="21B36C39"/>
    <w:rsid w:val="26283BF2"/>
    <w:rsid w:val="279C3601"/>
    <w:rsid w:val="28914B46"/>
    <w:rsid w:val="28F82022"/>
    <w:rsid w:val="35A8751E"/>
    <w:rsid w:val="365350FF"/>
    <w:rsid w:val="377542C9"/>
    <w:rsid w:val="381023C2"/>
    <w:rsid w:val="392A2A4A"/>
    <w:rsid w:val="39F2420A"/>
    <w:rsid w:val="3CA5271A"/>
    <w:rsid w:val="3E683C1A"/>
    <w:rsid w:val="46360E6A"/>
    <w:rsid w:val="478333E3"/>
    <w:rsid w:val="4AB763AF"/>
    <w:rsid w:val="4D933B3E"/>
    <w:rsid w:val="4F357DC8"/>
    <w:rsid w:val="508F44E3"/>
    <w:rsid w:val="538C45C6"/>
    <w:rsid w:val="54EE6D20"/>
    <w:rsid w:val="562B2156"/>
    <w:rsid w:val="5A065E9E"/>
    <w:rsid w:val="5A61209F"/>
    <w:rsid w:val="5D9C64EA"/>
    <w:rsid w:val="675329B6"/>
    <w:rsid w:val="69CE5025"/>
    <w:rsid w:val="6A307A84"/>
    <w:rsid w:val="6D535020"/>
    <w:rsid w:val="6DEE3076"/>
    <w:rsid w:val="6E7526C2"/>
    <w:rsid w:val="74E97C9C"/>
    <w:rsid w:val="755A345C"/>
    <w:rsid w:val="766838DA"/>
    <w:rsid w:val="76B20CC2"/>
    <w:rsid w:val="7C435A4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styleId="10">
    <w:name w:val="List Paragraph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11">
    <w:name w:val="批注框文本 Char"/>
    <w:basedOn w:val="8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I10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Company>Win10NeT.COM</Company>
  <Pages>2</Pages>
  <Words>910</Words>
  <Characters>1059</Characters>
  <Lines>16</Lines>
  <Paragraphs>4</Paragraphs>
  <TotalTime>6</TotalTime>
  <ScaleCrop>false</ScaleCrop>
  <LinksUpToDate>false</LinksUpToDate>
  <CharactersWithSpaces>1200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2018-06-14T02:41:00Z</dcterms:created>
  <dc:creator>远行的小小鸟</dc:creator>
  <cp:lastModifiedBy>邸方圆-昆仑中大</cp:lastModifiedBy>
  <cp:lastPrinted>2018-06-14T11:04:00Z</cp:lastPrinted>
  <dcterms:modified xsi:type="dcterms:W3CDTF">2023-05-18T08:56:30Z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C6820ED44C30470981BD0057805CAC0D_13</vt:lpwstr>
  </property>
</Properties>
</file>